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What is Culture?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8" w:line="240" w:lineRule="auto"/>
        <w:jc w:val="center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sz w:val="50"/>
          <w:szCs w:val="50"/>
          <w:rtl w:val="0"/>
        </w:rPr>
        <w:t xml:space="preserve">Culture is the patterns of daily life learned consciously and unconsciously by a group of people. These patterns can be seen in language, governing practices, arts, customs, holiday celebrations, food, religion, dating rituals and clothing, etc.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8"/>
          <w:szCs w:val="48"/>
          <w:rtl w:val="0"/>
        </w:rPr>
        <w:t xml:space="preserve">Culture Shapes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270" w:hanging="50"/>
        <w:rPr>
          <w:color w:val="4f81bd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The way we think (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48"/>
          <w:szCs w:val="48"/>
          <w:rtl w:val="0"/>
        </w:rPr>
        <w:t xml:space="preserve">cognition</w:t>
      </w: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before="120" w:line="240" w:lineRule="auto"/>
        <w:ind w:left="270" w:hanging="50"/>
        <w:rPr>
          <w:color w:val="4f81bd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The way we interact (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48"/>
          <w:szCs w:val="48"/>
          <w:rtl w:val="0"/>
        </w:rPr>
        <w:t xml:space="preserve">behavior</w:t>
      </w: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before="120" w:line="240" w:lineRule="auto"/>
        <w:ind w:left="270" w:hanging="50"/>
        <w:rPr>
          <w:color w:val="4f81bd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The way we communicate (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48"/>
          <w:szCs w:val="48"/>
          <w:rtl w:val="0"/>
        </w:rPr>
        <w:t xml:space="preserve">language</w:t>
      </w: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before="120" w:line="240" w:lineRule="auto"/>
        <w:ind w:left="270" w:hanging="50"/>
        <w:rPr>
          <w:color w:val="4f81bd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The way we transmit knowledge to the  next generation (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48"/>
          <w:szCs w:val="48"/>
          <w:rtl w:val="0"/>
        </w:rPr>
        <w:t xml:space="preserve">education</w:t>
      </w:r>
      <w:r w:rsidDel="00000000" w:rsidR="00000000" w:rsidRPr="00000000">
        <w:rPr>
          <w:rFonts w:ascii="Century Gothic" w:cs="Century Gothic" w:eastAsia="Century Gothic" w:hAnsi="Century Gothic"/>
          <w:color w:val="1f497d"/>
          <w:sz w:val="48"/>
          <w:szCs w:val="4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rFonts w:ascii="Century Gothic" w:cs="Century Gothic" w:eastAsia="Century Gothic" w:hAnsi="Century Gothic"/>
          <w:color w:val="1f497d"/>
          <w:sz w:val="44"/>
          <w:szCs w:val="44"/>
        </w:rPr>
      </w:pPr>
      <w:r w:rsidDel="00000000" w:rsidR="00000000" w:rsidRPr="00000000">
        <w:rPr>
          <w:rFonts w:ascii="Candara" w:cs="Candara" w:eastAsia="Candara" w:hAnsi="Candara"/>
          <w:i w:val="1"/>
          <w:sz w:val="32"/>
          <w:szCs w:val="32"/>
          <w:rtl w:val="0"/>
        </w:rPr>
        <w:t xml:space="preserve">Adapted From Catherine Collier,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color w:val="1f497d"/>
          <w:sz w:val="52"/>
          <w:szCs w:val="5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497d"/>
          <w:sz w:val="52"/>
          <w:szCs w:val="52"/>
          <w:rtl w:val="0"/>
        </w:rPr>
        <w:t xml:space="preserve">Iceberg of Culture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57450" cy="1866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entury Gothic" w:cs="Century Gothic" w:eastAsia="Century Gothic" w:hAnsi="Century Gothic"/>
          <w:b w:val="1"/>
          <w:color w:val="1f497d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497d"/>
          <w:sz w:val="30"/>
          <w:szCs w:val="30"/>
          <w:rtl w:val="0"/>
        </w:rPr>
        <w:t xml:space="preserve">Surface Culture</w:t>
      </w:r>
    </w:p>
    <w:p w:rsidR="00000000" w:rsidDel="00000000" w:rsidP="00000000" w:rsidRDefault="00000000" w:rsidRPr="00000000" w14:paraId="00000019">
      <w:pPr>
        <w:jc w:val="center"/>
        <w:rPr>
          <w:rFonts w:ascii="Century Gothic" w:cs="Century Gothic" w:eastAsia="Century Gothic" w:hAnsi="Century Gothic"/>
          <w:b w:val="1"/>
          <w:color w:val="1f497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Music, visual and performing arts, drama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Holiday celebrations and folklore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Food/drink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Traditional 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Historical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Outward displays of behavior and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color w:val="1f497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color w:val="1f497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color w:val="1f497d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497d"/>
          <w:sz w:val="30"/>
          <w:szCs w:val="30"/>
          <w:rtl w:val="0"/>
        </w:rPr>
        <w:t xml:space="preserve">Deep Culture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color w:val="1f497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Thoughts, beliefs, superstitions,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Concerns, hopes, fears, worries, ethics, and how you organize your thinking and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Symbolic and intangible aspects of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Subtle interpersonal relationships as expressed in actions and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before="120" w:line="240" w:lineRule="auto"/>
        <w:ind w:left="270" w:hanging="50"/>
        <w:rPr>
          <w:color w:val="4f81bd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1f497d"/>
          <w:sz w:val="24"/>
          <w:szCs w:val="24"/>
          <w:rtl w:val="0"/>
        </w:rPr>
        <w:t xml:space="preserve">Day-by-day details of life as it is lived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